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34CD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CE1738E" wp14:editId="501AE8CD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69F2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3CC66213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1AD41BB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0EBF59B6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5DE14620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264C1D82" w14:textId="77777777" w:rsidR="00170CAD" w:rsidRDefault="00170CAD" w:rsidP="00136918">
      <w:pPr>
        <w:jc w:val="both"/>
        <w:rPr>
          <w:b/>
          <w:sz w:val="24"/>
          <w:szCs w:val="24"/>
        </w:rPr>
      </w:pPr>
    </w:p>
    <w:p w14:paraId="5114BC92" w14:textId="77777777"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</w:t>
      </w:r>
      <w:proofErr w:type="gramStart"/>
      <w:r w:rsidR="008F4BC1">
        <w:rPr>
          <w:b/>
          <w:sz w:val="24"/>
          <w:szCs w:val="24"/>
        </w:rPr>
        <w:t>prosím,  vkládejte</w:t>
      </w:r>
      <w:proofErr w:type="gramEnd"/>
      <w:r w:rsidR="008F4BC1">
        <w:rPr>
          <w:b/>
          <w:sz w:val="24"/>
          <w:szCs w:val="24"/>
        </w:rPr>
        <w:t xml:space="preserve">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14:paraId="23931DA9" w14:textId="77777777"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</w:t>
      </w:r>
      <w:proofErr w:type="gramEnd"/>
      <w:r w:rsidR="00406AD7">
        <w:rPr>
          <w:sz w:val="24"/>
          <w:szCs w:val="24"/>
        </w:rPr>
        <w:t xml:space="preserve">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</w:t>
      </w:r>
      <w:proofErr w:type="gramStart"/>
      <w:r w:rsidRPr="00406AD7">
        <w:rPr>
          <w:sz w:val="24"/>
          <w:szCs w:val="24"/>
        </w:rPr>
        <w:t>však  nebude</w:t>
      </w:r>
      <w:proofErr w:type="gramEnd"/>
      <w:r w:rsidRPr="00406AD7">
        <w:rPr>
          <w:sz w:val="24"/>
          <w:szCs w:val="24"/>
        </w:rPr>
        <w:t xml:space="preserve">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</w:t>
      </w:r>
      <w:proofErr w:type="gramStart"/>
      <w:r w:rsidR="00406AD7">
        <w:rPr>
          <w:sz w:val="24"/>
          <w:szCs w:val="24"/>
        </w:rPr>
        <w:t>se  zaměstnanci</w:t>
      </w:r>
      <w:proofErr w:type="gramEnd"/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</w:t>
      </w:r>
      <w:proofErr w:type="gramStart"/>
      <w:r w:rsidR="00943718">
        <w:rPr>
          <w:sz w:val="24"/>
          <w:szCs w:val="24"/>
        </w:rPr>
        <w:t xml:space="preserve">na </w:t>
      </w:r>
      <w:r w:rsidR="002F3C31">
        <w:rPr>
          <w:sz w:val="24"/>
          <w:szCs w:val="24"/>
        </w:rPr>
        <w:t xml:space="preserve"> každém</w:t>
      </w:r>
      <w:proofErr w:type="gramEnd"/>
      <w:r w:rsidR="002F3C31">
        <w:rPr>
          <w:sz w:val="24"/>
          <w:szCs w:val="24"/>
        </w:rPr>
        <w:t xml:space="preserve">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proofErr w:type="gramStart"/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proofErr w:type="gramEnd"/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</w:t>
      </w:r>
      <w:proofErr w:type="gramStart"/>
      <w:r w:rsidR="00943718">
        <w:rPr>
          <w:sz w:val="24"/>
          <w:szCs w:val="24"/>
        </w:rPr>
        <w:t xml:space="preserve">firem </w:t>
      </w:r>
      <w:r w:rsidR="00406AD7">
        <w:rPr>
          <w:sz w:val="24"/>
          <w:szCs w:val="24"/>
        </w:rPr>
        <w:t xml:space="preserve"> budou</w:t>
      </w:r>
      <w:proofErr w:type="gramEnd"/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14:paraId="5DE59018" w14:textId="77777777"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</w:t>
      </w:r>
      <w:proofErr w:type="gramStart"/>
      <w:r w:rsidR="008C58C2">
        <w:rPr>
          <w:sz w:val="24"/>
          <w:szCs w:val="24"/>
        </w:rPr>
        <w:t>2021</w:t>
      </w:r>
      <w:r w:rsidRPr="00864F2A">
        <w:rPr>
          <w:sz w:val="24"/>
          <w:szCs w:val="24"/>
        </w:rPr>
        <w:t xml:space="preserve">  své</w:t>
      </w:r>
      <w:proofErr w:type="gramEnd"/>
      <w:r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14:paraId="4AD5CF4C" w14:textId="77777777"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14:paraId="224EB32D" w14:textId="77777777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77E63A4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6C13391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14:paraId="0CE402DE" w14:textId="77777777"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14:paraId="1263C524" w14:textId="77777777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03C857D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CD9D277" w14:textId="77777777" w:rsidR="00611502" w:rsidRDefault="00B96A7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7B6C1910" w14:textId="77777777"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14:paraId="7D0A6223" w14:textId="77777777"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14:paraId="186D2A58" w14:textId="77777777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88EA343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31A091F" w14:textId="77777777" w:rsidR="00611502" w:rsidRPr="00891001" w:rsidRDefault="00B96A7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08DCC48E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14:paraId="64B5CFB6" w14:textId="77777777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EFE32A2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8E94153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14:paraId="577BEA23" w14:textId="77777777"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14:paraId="47D22A83" w14:textId="77777777"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14:paraId="40F4E103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DEE5714" w14:textId="77777777"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B8F6B90" w14:textId="77777777" w:rsidR="006647A3" w:rsidRDefault="00B96A7D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381E5039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14:paraId="7DF87D89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14:paraId="2BA6A7CB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D690DD4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2443A69" w14:textId="77777777" w:rsidR="00611502" w:rsidRPr="00891001" w:rsidRDefault="00B96A7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5E81910E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14:paraId="31CD8FEF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37FEB31" w14:textId="77777777"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D6E857A" w14:textId="77777777" w:rsidR="00DE57DC" w:rsidRDefault="00B96A7D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4036886" w14:textId="77777777"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14:paraId="4344913F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6178098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EAD069C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14:paraId="0EE35BC7" w14:textId="77777777"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14:paraId="23EF583A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8850151" w14:textId="77777777"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1905BB0" w14:textId="77777777" w:rsidR="00DE57DC" w:rsidRDefault="00B96A7D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14:paraId="7A1A51EA" w14:textId="77777777"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5EC57C2F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14:paraId="593A12C8" w14:textId="77777777"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14:paraId="0285F75A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0186D2E" w14:textId="77777777"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4215BD2" w14:textId="77777777"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14:paraId="7ECC6685" w14:textId="77777777"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14:paraId="24220686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86EF50F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3BC3797" w14:textId="77777777" w:rsidR="00DE57DC" w:rsidRDefault="00B96A7D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66AD5EFD" w14:textId="77777777"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14:paraId="4E537224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8610AC3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proofErr w:type="gramStart"/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</w:t>
            </w:r>
            <w:proofErr w:type="gramEnd"/>
            <w:r w:rsidRPr="006647A3">
              <w:rPr>
                <w:b/>
                <w:sz w:val="18"/>
              </w:rPr>
              <w:t xml:space="preserve">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DE6AAA3" w14:textId="77777777"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14:paraId="252D1A37" w14:textId="77777777"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14:paraId="39BF3D26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24EB7D3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14:paraId="50EF174E" w14:textId="77777777"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F5DFCB3" w14:textId="77777777" w:rsidR="00DE57DC" w:rsidRDefault="00B96A7D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53B45869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14:paraId="48B097E0" w14:textId="77777777"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14:paraId="5A51C0ED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899AD4C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A9A3C4A" w14:textId="77777777" w:rsidR="00611502" w:rsidRDefault="00B96A7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14:paraId="4A07AA24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2316F6F4" w14:textId="77777777"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14:paraId="430CBA3E" w14:textId="77777777"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14:paraId="06B83D1C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D632D3A" w14:textId="77777777"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14:paraId="30CAB77A" w14:textId="77777777"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BEDA001" w14:textId="77777777" w:rsidR="00611502" w:rsidRDefault="00B96A7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14:paraId="16203AA8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6D76EEE8" w14:textId="77777777"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14:paraId="650D1457" w14:textId="77777777" w:rsidR="009353DE" w:rsidRDefault="009353DE" w:rsidP="00136918">
      <w:pPr>
        <w:jc w:val="both"/>
        <w:rPr>
          <w:sz w:val="24"/>
          <w:szCs w:val="24"/>
        </w:rPr>
      </w:pPr>
    </w:p>
    <w:p w14:paraId="41D23E26" w14:textId="77777777"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problematice  dále</w:t>
      </w:r>
      <w:proofErr w:type="gramEnd"/>
      <w:r>
        <w:rPr>
          <w:sz w:val="24"/>
          <w:szCs w:val="24"/>
        </w:rPr>
        <w:t xml:space="preserve"> uvádíme:</w:t>
      </w:r>
    </w:p>
    <w:p w14:paraId="39A70AE7" w14:textId="77777777"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14:paraId="585A0440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14:paraId="1061FE45" w14:textId="77777777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1A644994" w14:textId="77777777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14676233" w14:textId="77777777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14:paraId="5D2EF12D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6CE74375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14:paraId="7F13BFDC" w14:textId="77777777"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14:paraId="33B44B8A" w14:textId="77777777"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</w:t>
      </w:r>
      <w:proofErr w:type="gramStart"/>
      <w:r w:rsidRPr="00176E08">
        <w:rPr>
          <w:sz w:val="24"/>
          <w:szCs w:val="24"/>
        </w:rPr>
        <w:t>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7</w:t>
      </w:r>
      <w:proofErr w:type="gramEnd"/>
      <w:r w:rsidR="00DA7A58">
        <w:rPr>
          <w:b/>
          <w:sz w:val="24"/>
          <w:szCs w:val="24"/>
        </w:rPr>
        <w:t xml:space="preserve">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6C2C746" w14:textId="77777777"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19638F9D" w14:textId="77777777"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14:paraId="1B8942F1" w14:textId="77777777"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14:paraId="7BD9E745" w14:textId="77777777"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14:paraId="718A4C75" w14:textId="77777777"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14:paraId="61A41139" w14:textId="77777777" w:rsidR="008A3BB9" w:rsidRDefault="008A3BB9" w:rsidP="00654708">
      <w:pPr>
        <w:jc w:val="both"/>
        <w:rPr>
          <w:sz w:val="24"/>
          <w:szCs w:val="24"/>
        </w:rPr>
      </w:pPr>
    </w:p>
    <w:p w14:paraId="6E35A71F" w14:textId="77777777"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14:paraId="1B59544A" w14:textId="77777777"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14:paraId="4D035075" w14:textId="77777777"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14:paraId="13326D7A" w14:textId="77777777"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14:paraId="109E940D" w14:textId="77777777"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14:paraId="2EA26913" w14:textId="77777777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14:paraId="27A5DA24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20AE618F" w14:textId="77777777"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96A7D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94E9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Petra Borská</cp:lastModifiedBy>
  <cp:revision>2</cp:revision>
  <cp:lastPrinted>2017-01-10T10:49:00Z</cp:lastPrinted>
  <dcterms:created xsi:type="dcterms:W3CDTF">2020-12-22T08:08:00Z</dcterms:created>
  <dcterms:modified xsi:type="dcterms:W3CDTF">2020-12-22T08:08:00Z</dcterms:modified>
</cp:coreProperties>
</file>