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38" w:rsidRDefault="00F6469B" w:rsidP="00012338">
      <w:pPr>
        <w:spacing w:after="0"/>
        <w:ind w:left="0" w:right="-79" w:firstLine="0"/>
        <w:jc w:val="center"/>
        <w:rPr>
          <w:i/>
          <w:sz w:val="24"/>
        </w:rPr>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-17779</wp:posOffset>
                </wp:positionH>
                <wp:positionV relativeFrom="paragraph">
                  <wp:posOffset>231851</wp:posOffset>
                </wp:positionV>
                <wp:extent cx="5798185" cy="1257682"/>
                <wp:effectExtent l="0" t="0" r="0" b="0"/>
                <wp:wrapNone/>
                <wp:docPr id="1891" name="Group 1891"/>
                <wp:cNvGraphicFramePr/>
                <a:graphic xmlns:a="http://schemas.openxmlformats.org/drawingml/2006/main">
                  <a:graphicData uri="http://schemas.microsoft.com/office/word/2010/wordprocessingGroup">
                    <wpg:wgp>
                      <wpg:cNvGrpSpPr/>
                      <wpg:grpSpPr>
                        <a:xfrm>
                          <a:off x="0" y="0"/>
                          <a:ext cx="5798185" cy="1257682"/>
                          <a:chOff x="0" y="0"/>
                          <a:chExt cx="5798185" cy="1257682"/>
                        </a:xfrm>
                      </wpg:grpSpPr>
                      <pic:pic xmlns:pic="http://schemas.openxmlformats.org/drawingml/2006/picture">
                        <pic:nvPicPr>
                          <pic:cNvPr id="7" name="Picture 7"/>
                          <pic:cNvPicPr/>
                        </pic:nvPicPr>
                        <pic:blipFill>
                          <a:blip r:embed="rId5"/>
                          <a:stretch>
                            <a:fillRect/>
                          </a:stretch>
                        </pic:blipFill>
                        <pic:spPr>
                          <a:xfrm>
                            <a:off x="169863" y="0"/>
                            <a:ext cx="1295400" cy="1137920"/>
                          </a:xfrm>
                          <a:prstGeom prst="rect">
                            <a:avLst/>
                          </a:prstGeom>
                        </pic:spPr>
                      </pic:pic>
                      <wps:wsp>
                        <wps:cNvPr id="2158" name="Shape 2158"/>
                        <wps:cNvSpPr/>
                        <wps:spPr>
                          <a:xfrm>
                            <a:off x="0" y="1239901"/>
                            <a:ext cx="5798185" cy="17780"/>
                          </a:xfrm>
                          <a:custGeom>
                            <a:avLst/>
                            <a:gdLst/>
                            <a:ahLst/>
                            <a:cxnLst/>
                            <a:rect l="0" t="0" r="0" b="0"/>
                            <a:pathLst>
                              <a:path w="5798185" h="17780">
                                <a:moveTo>
                                  <a:pt x="0" y="0"/>
                                </a:moveTo>
                                <a:lnTo>
                                  <a:pt x="5798185" y="0"/>
                                </a:lnTo>
                                <a:lnTo>
                                  <a:pt x="579818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1" style="width:456.55pt;height:99.0301pt;position:absolute;z-index:-2147483630;mso-position-horizontal-relative:text;mso-position-horizontal:absolute;margin-left:-1.39999pt;mso-position-vertical-relative:text;margin-top:18.256pt;" coordsize="57981,12576">
                <v:shape id="Picture 7" style="position:absolute;width:12954;height:11379;left:1698;top:0;" filled="f">
                  <v:imagedata r:id="rId6"/>
                </v:shape>
                <v:shape id="Shape 2159" style="position:absolute;width:57981;height:177;left:0;top:12399;" coordsize="5798185,17780" path="m0,0l5798185,0l5798185,17780l0,17780l0,0">
                  <v:stroke weight="0pt" endcap="flat" joinstyle="miter" miterlimit="10" on="false" color="#000000" opacity="0"/>
                  <v:fill on="true" color="#000000"/>
                </v:shape>
              </v:group>
            </w:pict>
          </mc:Fallback>
        </mc:AlternateContent>
      </w:r>
      <w:r w:rsidR="00012338">
        <w:rPr>
          <w:i/>
          <w:sz w:val="24"/>
        </w:rPr>
        <w:t xml:space="preserve">                                                </w:t>
      </w:r>
    </w:p>
    <w:p w:rsidR="00012338" w:rsidRDefault="00012338" w:rsidP="00012338">
      <w:pPr>
        <w:spacing w:after="0"/>
        <w:ind w:left="0" w:right="-79" w:firstLine="0"/>
        <w:jc w:val="center"/>
        <w:rPr>
          <w:i/>
          <w:sz w:val="24"/>
        </w:rPr>
      </w:pPr>
      <w:r>
        <w:rPr>
          <w:i/>
          <w:sz w:val="24"/>
        </w:rPr>
        <w:t xml:space="preserve">                                                 </w:t>
      </w:r>
      <w:r w:rsidR="00F6469B">
        <w:rPr>
          <w:i/>
          <w:sz w:val="24"/>
        </w:rPr>
        <w:t xml:space="preserve">Základní škola a Mateřská škola Hrádek 144,                                 </w:t>
      </w:r>
      <w:r>
        <w:rPr>
          <w:i/>
          <w:sz w:val="24"/>
        </w:rPr>
        <w:t xml:space="preserve">        </w:t>
      </w:r>
    </w:p>
    <w:p w:rsidR="001630FF" w:rsidRDefault="00012338" w:rsidP="00012338">
      <w:pPr>
        <w:spacing w:after="0"/>
        <w:ind w:left="0" w:right="-79" w:firstLine="0"/>
        <w:jc w:val="center"/>
      </w:pPr>
      <w:r>
        <w:rPr>
          <w:i/>
          <w:sz w:val="24"/>
        </w:rPr>
        <w:t xml:space="preserve">                                                 okres Frýdek – Místek,</w:t>
      </w:r>
      <w:r w:rsidR="00F6469B">
        <w:rPr>
          <w:i/>
          <w:sz w:val="24"/>
        </w:rPr>
        <w:t xml:space="preserve">  </w:t>
      </w:r>
      <w:r>
        <w:rPr>
          <w:i/>
          <w:sz w:val="24"/>
        </w:rPr>
        <w:t>p</w:t>
      </w:r>
      <w:r w:rsidR="00F6469B">
        <w:rPr>
          <w:i/>
          <w:sz w:val="24"/>
        </w:rPr>
        <w:t>říspěvková organizace</w:t>
      </w:r>
    </w:p>
    <w:p w:rsidR="001630FF" w:rsidRDefault="00F6469B" w:rsidP="00012338">
      <w:pPr>
        <w:spacing w:after="0" w:line="259" w:lineRule="auto"/>
        <w:ind w:left="0" w:firstLine="0"/>
        <w:jc w:val="center"/>
      </w:pPr>
      <w:r>
        <w:rPr>
          <w:sz w:val="24"/>
        </w:rPr>
        <w:t xml:space="preserve">                                    </w:t>
      </w:r>
      <w:r w:rsidR="00012338">
        <w:rPr>
          <w:sz w:val="24"/>
        </w:rPr>
        <w:t xml:space="preserve">       </w:t>
      </w:r>
      <w:r>
        <w:rPr>
          <w:sz w:val="24"/>
        </w:rPr>
        <w:t xml:space="preserve">   IČO: 70640173 </w:t>
      </w:r>
    </w:p>
    <w:p w:rsidR="001630FF" w:rsidRDefault="00F6469B">
      <w:pPr>
        <w:spacing w:after="0" w:line="259" w:lineRule="auto"/>
        <w:ind w:right="69"/>
        <w:jc w:val="center"/>
      </w:pPr>
      <w:r>
        <w:rPr>
          <w:sz w:val="24"/>
        </w:rPr>
        <w:t xml:space="preserve">                                    </w:t>
      </w:r>
      <w:r w:rsidR="00012338">
        <w:rPr>
          <w:sz w:val="24"/>
        </w:rPr>
        <w:t xml:space="preserve">          </w:t>
      </w:r>
      <w:r>
        <w:rPr>
          <w:sz w:val="24"/>
        </w:rPr>
        <w:t xml:space="preserve"> Tel: 774 372 779 </w:t>
      </w:r>
    </w:p>
    <w:p w:rsidR="001630FF" w:rsidRDefault="00F6469B">
      <w:pPr>
        <w:spacing w:after="0" w:line="259" w:lineRule="auto"/>
        <w:ind w:right="68"/>
        <w:jc w:val="center"/>
      </w:pPr>
      <w:r>
        <w:rPr>
          <w:sz w:val="24"/>
        </w:rPr>
        <w:t xml:space="preserve">                                </w:t>
      </w:r>
      <w:r w:rsidR="00012338">
        <w:rPr>
          <w:sz w:val="24"/>
        </w:rPr>
        <w:t xml:space="preserve">             </w:t>
      </w:r>
      <w:r>
        <w:rPr>
          <w:sz w:val="24"/>
        </w:rPr>
        <w:t xml:space="preserve">  E-mail: barevnaskolahradek@email.cz </w:t>
      </w:r>
    </w:p>
    <w:p w:rsidR="00012338" w:rsidRDefault="00012338">
      <w:pPr>
        <w:spacing w:after="30" w:line="259" w:lineRule="auto"/>
        <w:ind w:left="0" w:firstLine="0"/>
        <w:jc w:val="center"/>
        <w:rPr>
          <w:b/>
          <w:i/>
          <w:sz w:val="24"/>
        </w:rPr>
      </w:pPr>
    </w:p>
    <w:p w:rsidR="00012338" w:rsidRDefault="00012338">
      <w:pPr>
        <w:spacing w:after="30" w:line="259" w:lineRule="auto"/>
        <w:ind w:left="0" w:firstLine="0"/>
        <w:jc w:val="center"/>
        <w:rPr>
          <w:b/>
          <w:i/>
          <w:sz w:val="24"/>
        </w:rPr>
      </w:pPr>
    </w:p>
    <w:p w:rsidR="001630FF" w:rsidRPr="00012338" w:rsidRDefault="00F6469B">
      <w:pPr>
        <w:spacing w:after="30" w:line="259" w:lineRule="auto"/>
        <w:ind w:left="0" w:firstLine="0"/>
        <w:jc w:val="center"/>
        <w:rPr>
          <w:rFonts w:asciiTheme="minorHAnsi" w:hAnsiTheme="minorHAnsi" w:cstheme="minorHAnsi"/>
        </w:rPr>
      </w:pPr>
      <w:r w:rsidRPr="00012338">
        <w:rPr>
          <w:rFonts w:asciiTheme="minorHAnsi" w:hAnsiTheme="minorHAnsi" w:cstheme="minorHAnsi"/>
          <w:b/>
          <w:i/>
          <w:sz w:val="24"/>
        </w:rPr>
        <w:t xml:space="preserve"> </w:t>
      </w:r>
    </w:p>
    <w:p w:rsidR="001630FF" w:rsidRPr="00012338" w:rsidRDefault="00F6469B" w:rsidP="00012338">
      <w:pPr>
        <w:pStyle w:val="Bezmezer"/>
        <w:jc w:val="center"/>
        <w:rPr>
          <w:rFonts w:asciiTheme="minorHAnsi" w:hAnsiTheme="minorHAnsi" w:cstheme="minorHAnsi"/>
          <w:b/>
          <w:i/>
          <w:sz w:val="24"/>
          <w:szCs w:val="24"/>
        </w:rPr>
      </w:pPr>
      <w:r w:rsidRPr="00012338">
        <w:rPr>
          <w:rFonts w:asciiTheme="minorHAnsi" w:hAnsiTheme="minorHAnsi" w:cstheme="minorHAnsi"/>
          <w:b/>
          <w:i/>
          <w:sz w:val="24"/>
          <w:szCs w:val="24"/>
        </w:rPr>
        <w:t>KRITÉRIA PŘIJÍMÁNÍ DĚTÍ</w:t>
      </w:r>
    </w:p>
    <w:p w:rsidR="001630FF" w:rsidRPr="00012338" w:rsidRDefault="00F6469B" w:rsidP="00012338">
      <w:pPr>
        <w:pStyle w:val="Bezmezer"/>
        <w:jc w:val="center"/>
        <w:rPr>
          <w:rFonts w:asciiTheme="minorHAnsi" w:hAnsiTheme="minorHAnsi" w:cstheme="minorHAnsi"/>
          <w:b/>
          <w:i/>
          <w:sz w:val="24"/>
          <w:szCs w:val="24"/>
        </w:rPr>
      </w:pPr>
      <w:r w:rsidRPr="00012338">
        <w:rPr>
          <w:rFonts w:asciiTheme="minorHAnsi" w:hAnsiTheme="minorHAnsi" w:cstheme="minorHAnsi"/>
          <w:b/>
          <w:i/>
          <w:sz w:val="24"/>
          <w:szCs w:val="24"/>
        </w:rPr>
        <w:t>K PŘEDŠKOLNÍMU VZDĚLÁVÁNÍ VE ŠKOLNÍM ROCE 202</w:t>
      </w:r>
      <w:r w:rsidR="00923BFD">
        <w:rPr>
          <w:rFonts w:asciiTheme="minorHAnsi" w:hAnsiTheme="minorHAnsi" w:cstheme="minorHAnsi"/>
          <w:b/>
          <w:i/>
          <w:sz w:val="24"/>
          <w:szCs w:val="24"/>
        </w:rPr>
        <w:t>3</w:t>
      </w:r>
      <w:r w:rsidRPr="00012338">
        <w:rPr>
          <w:rFonts w:asciiTheme="minorHAnsi" w:hAnsiTheme="minorHAnsi" w:cstheme="minorHAnsi"/>
          <w:b/>
          <w:i/>
          <w:sz w:val="24"/>
          <w:szCs w:val="24"/>
        </w:rPr>
        <w:t>/202</w:t>
      </w:r>
      <w:r w:rsidR="00923BFD">
        <w:rPr>
          <w:rFonts w:asciiTheme="minorHAnsi" w:hAnsiTheme="minorHAnsi" w:cstheme="minorHAnsi"/>
          <w:b/>
          <w:i/>
          <w:sz w:val="24"/>
          <w:szCs w:val="24"/>
        </w:rPr>
        <w:t>4</w:t>
      </w:r>
    </w:p>
    <w:p w:rsidR="00012338" w:rsidRPr="00012338" w:rsidRDefault="00012338" w:rsidP="00012338">
      <w:pPr>
        <w:pStyle w:val="Bezmezer"/>
        <w:jc w:val="center"/>
        <w:rPr>
          <w:rFonts w:asciiTheme="minorHAnsi" w:hAnsiTheme="minorHAnsi" w:cstheme="minorHAnsi"/>
          <w:b/>
          <w:i/>
        </w:rPr>
      </w:pPr>
    </w:p>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 </w:t>
      </w:r>
    </w:p>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Ředitelka Základní školy a Mateřské školy Hrádek 144 stanovila následující kritéria, podle nichž bude postupovat při rozhodování na základě ustanovení § 165 odst. 2 písm. b) zákona č. 561/2004 Sb., o předškolním, základním, středním, vyšším odborném a jiném vzdělávání (školský zákon), ve znění pozdějších předpisů, o přijetí dítěte k předškolnímu vzdělávání v mateřské škole </w:t>
      </w:r>
      <w:r w:rsidR="00923BFD">
        <w:rPr>
          <w:rFonts w:asciiTheme="minorHAnsi" w:hAnsiTheme="minorHAnsi" w:cstheme="minorHAnsi"/>
        </w:rPr>
        <w:t>od 1. 9. 2023</w:t>
      </w:r>
      <w:r w:rsidR="00A51592">
        <w:rPr>
          <w:rFonts w:asciiTheme="minorHAnsi" w:hAnsiTheme="minorHAnsi" w:cstheme="minorHAnsi"/>
        </w:rPr>
        <w:t xml:space="preserve">               </w:t>
      </w:r>
      <w:r w:rsidRPr="00012338">
        <w:rPr>
          <w:rFonts w:asciiTheme="minorHAnsi" w:hAnsiTheme="minorHAnsi" w:cstheme="minorHAnsi"/>
        </w:rPr>
        <w:t xml:space="preserve">v případě, kdy počet žádostí o přijetí k předškolnímu vzdělávání v daném roce překročí stanovenou kapacitu maximálního počtu dětí pro mateřskou školu.  </w:t>
      </w:r>
    </w:p>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 </w:t>
      </w:r>
    </w:p>
    <w:p w:rsidR="001630FF" w:rsidRDefault="00F6469B" w:rsidP="00923BFD">
      <w:pPr>
        <w:pStyle w:val="Bezmezer"/>
        <w:ind w:firstLine="698"/>
        <w:rPr>
          <w:rFonts w:asciiTheme="minorHAnsi" w:hAnsiTheme="minorHAnsi" w:cstheme="minorHAnsi"/>
        </w:rPr>
      </w:pPr>
      <w:r w:rsidRPr="00012338">
        <w:rPr>
          <w:rFonts w:asciiTheme="minorHAnsi" w:hAnsiTheme="minorHAnsi" w:cstheme="minorHAnsi"/>
        </w:rPr>
        <w:t xml:space="preserve">Předškolní vzdělávání se poskytuje zpravidla dětem ve věku od 3 let až do začátku povinné školní docházky. Od počátku školního roku, který následuje po dni, kdy dítě dosáhne pátého roku věku, do zahájení povinné školní docházky dítěte, je předškolní vzdělávání povinné. </w:t>
      </w:r>
      <w:r w:rsidR="00923BFD">
        <w:rPr>
          <w:rFonts w:asciiTheme="minorHAnsi" w:hAnsiTheme="minorHAnsi" w:cstheme="minorHAnsi"/>
        </w:rPr>
        <w:t xml:space="preserve"> </w:t>
      </w:r>
    </w:p>
    <w:p w:rsidR="00012338" w:rsidRDefault="00012338" w:rsidP="00012338">
      <w:pPr>
        <w:pStyle w:val="Bezmezer"/>
        <w:rPr>
          <w:rFonts w:asciiTheme="minorHAnsi" w:hAnsiTheme="minorHAnsi" w:cstheme="minorHAnsi"/>
        </w:rPr>
      </w:pPr>
    </w:p>
    <w:p w:rsidR="001630FF" w:rsidRPr="00012338" w:rsidRDefault="00F6469B" w:rsidP="00923BFD">
      <w:pPr>
        <w:pStyle w:val="Bezmezer"/>
        <w:ind w:firstLine="698"/>
        <w:rPr>
          <w:rFonts w:asciiTheme="minorHAnsi" w:hAnsiTheme="minorHAnsi" w:cstheme="minorHAnsi"/>
        </w:rPr>
      </w:pPr>
      <w:r w:rsidRPr="00012338">
        <w:rPr>
          <w:rFonts w:asciiTheme="minorHAnsi" w:hAnsiTheme="minorHAnsi" w:cstheme="minorHAnsi"/>
        </w:rPr>
        <w:t xml:space="preserve">Při přijímání dětí do mateřské školy vychází ředitelka z kritérií, uvedených v následující tabulce. Přednostně bude přijato dítě s vyšším celkovým hodnocením. </w:t>
      </w:r>
    </w:p>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sz w:val="23"/>
        </w:rPr>
        <w:t xml:space="preserve"> </w:t>
      </w:r>
    </w:p>
    <w:tbl>
      <w:tblPr>
        <w:tblStyle w:val="TableGrid"/>
        <w:tblW w:w="9067" w:type="dxa"/>
        <w:tblInd w:w="4" w:type="dxa"/>
        <w:tblCellMar>
          <w:top w:w="8" w:type="dxa"/>
          <w:left w:w="108" w:type="dxa"/>
          <w:right w:w="115" w:type="dxa"/>
        </w:tblCellMar>
        <w:tblLook w:val="04A0" w:firstRow="1" w:lastRow="0" w:firstColumn="1" w:lastColumn="0" w:noHBand="0" w:noVBand="1"/>
      </w:tblPr>
      <w:tblGrid>
        <w:gridCol w:w="3021"/>
        <w:gridCol w:w="3025"/>
        <w:gridCol w:w="3021"/>
      </w:tblGrid>
      <w:tr w:rsidR="001630FF" w:rsidRPr="00012338">
        <w:trPr>
          <w:trHeight w:val="290"/>
        </w:trPr>
        <w:tc>
          <w:tcPr>
            <w:tcW w:w="3021" w:type="dxa"/>
            <w:tcBorders>
              <w:top w:val="single" w:sz="3" w:space="0" w:color="000000"/>
              <w:left w:val="single" w:sz="3" w:space="0" w:color="000000"/>
              <w:bottom w:val="single" w:sz="18" w:space="0" w:color="000000"/>
              <w:right w:val="nil"/>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sz w:val="23"/>
              </w:rPr>
              <w:t xml:space="preserve">Kritérium </w:t>
            </w:r>
          </w:p>
        </w:tc>
        <w:tc>
          <w:tcPr>
            <w:tcW w:w="3025" w:type="dxa"/>
            <w:tcBorders>
              <w:top w:val="single" w:sz="3" w:space="0" w:color="000000"/>
              <w:left w:val="nil"/>
              <w:bottom w:val="single" w:sz="18" w:space="0" w:color="000000"/>
              <w:right w:val="single" w:sz="3" w:space="0" w:color="000000"/>
            </w:tcBorders>
          </w:tcPr>
          <w:p w:rsidR="001630FF" w:rsidRPr="00012338" w:rsidRDefault="001630FF" w:rsidP="00012338">
            <w:pPr>
              <w:pStyle w:val="Bezmezer"/>
              <w:rPr>
                <w:rFonts w:asciiTheme="minorHAnsi" w:hAnsiTheme="minorHAnsi" w:cstheme="minorHAnsi"/>
              </w:rPr>
            </w:pPr>
          </w:p>
        </w:tc>
        <w:tc>
          <w:tcPr>
            <w:tcW w:w="3021" w:type="dxa"/>
            <w:tcBorders>
              <w:top w:val="single" w:sz="3" w:space="0" w:color="000000"/>
              <w:left w:val="single" w:sz="3" w:space="0" w:color="000000"/>
              <w:bottom w:val="single" w:sz="18"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sz w:val="23"/>
              </w:rPr>
              <w:t xml:space="preserve">Bodové ohodnocení </w:t>
            </w:r>
          </w:p>
        </w:tc>
      </w:tr>
      <w:tr w:rsidR="001630FF" w:rsidRPr="00012338">
        <w:trPr>
          <w:trHeight w:val="282"/>
        </w:trPr>
        <w:tc>
          <w:tcPr>
            <w:tcW w:w="3021" w:type="dxa"/>
            <w:vMerge w:val="restart"/>
            <w:tcBorders>
              <w:top w:val="single" w:sz="18" w:space="0" w:color="000000"/>
              <w:left w:val="single" w:sz="3" w:space="0" w:color="000000"/>
              <w:bottom w:val="single" w:sz="18"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Trvalý pobyt dítěte </w:t>
            </w:r>
          </w:p>
        </w:tc>
        <w:tc>
          <w:tcPr>
            <w:tcW w:w="3025" w:type="dxa"/>
            <w:tcBorders>
              <w:top w:val="single" w:sz="18" w:space="0" w:color="000000"/>
              <w:left w:val="single" w:sz="3" w:space="0" w:color="000000"/>
              <w:bottom w:val="single" w:sz="3"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Bydliště  v obci Hrádek </w:t>
            </w:r>
          </w:p>
        </w:tc>
        <w:tc>
          <w:tcPr>
            <w:tcW w:w="3021" w:type="dxa"/>
            <w:tcBorders>
              <w:top w:val="single" w:sz="18" w:space="0" w:color="000000"/>
              <w:left w:val="single" w:sz="3" w:space="0" w:color="000000"/>
              <w:bottom w:val="single" w:sz="3"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2 </w:t>
            </w:r>
          </w:p>
        </w:tc>
      </w:tr>
      <w:tr w:rsidR="001630FF" w:rsidRPr="00012338" w:rsidTr="00923BFD">
        <w:trPr>
          <w:trHeight w:val="278"/>
        </w:trPr>
        <w:tc>
          <w:tcPr>
            <w:tcW w:w="0" w:type="auto"/>
            <w:vMerge/>
            <w:tcBorders>
              <w:top w:val="nil"/>
              <w:left w:val="single" w:sz="3" w:space="0" w:color="000000"/>
              <w:bottom w:val="single" w:sz="18" w:space="0" w:color="000000"/>
              <w:right w:val="single" w:sz="3" w:space="0" w:color="000000"/>
            </w:tcBorders>
          </w:tcPr>
          <w:p w:rsidR="001630FF" w:rsidRPr="00012338" w:rsidRDefault="001630FF" w:rsidP="00012338">
            <w:pPr>
              <w:pStyle w:val="Bezmezer"/>
              <w:rPr>
                <w:rFonts w:asciiTheme="minorHAnsi" w:hAnsiTheme="minorHAnsi" w:cstheme="minorHAnsi"/>
              </w:rPr>
            </w:pPr>
          </w:p>
        </w:tc>
        <w:tc>
          <w:tcPr>
            <w:tcW w:w="3025" w:type="dxa"/>
            <w:tcBorders>
              <w:top w:val="single" w:sz="3" w:space="0" w:color="000000"/>
              <w:left w:val="single" w:sz="3" w:space="0" w:color="000000"/>
              <w:bottom w:val="single" w:sz="18"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Bydliště v okolních obcích </w:t>
            </w:r>
          </w:p>
        </w:tc>
        <w:tc>
          <w:tcPr>
            <w:tcW w:w="3021" w:type="dxa"/>
            <w:tcBorders>
              <w:top w:val="single" w:sz="3" w:space="0" w:color="000000"/>
              <w:left w:val="single" w:sz="3" w:space="0" w:color="000000"/>
              <w:bottom w:val="single" w:sz="18"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1 </w:t>
            </w:r>
          </w:p>
        </w:tc>
      </w:tr>
      <w:tr w:rsidR="001630FF" w:rsidRPr="00012338" w:rsidTr="00923BFD">
        <w:trPr>
          <w:trHeight w:val="314"/>
        </w:trPr>
        <w:tc>
          <w:tcPr>
            <w:tcW w:w="3021" w:type="dxa"/>
            <w:vMerge w:val="restart"/>
            <w:tcBorders>
              <w:top w:val="single" w:sz="18" w:space="0" w:color="000000"/>
              <w:left w:val="single" w:sz="4" w:space="0" w:color="000000"/>
              <w:bottom w:val="single" w:sz="4" w:space="0" w:color="auto"/>
              <w:right w:val="single" w:sz="4"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Věk dítěte  </w:t>
            </w:r>
          </w:p>
          <w:p w:rsidR="001630FF" w:rsidRPr="00012338" w:rsidRDefault="00F6469B" w:rsidP="00923BFD">
            <w:pPr>
              <w:pStyle w:val="Bezmezer"/>
              <w:rPr>
                <w:rFonts w:asciiTheme="minorHAnsi" w:hAnsiTheme="minorHAnsi" w:cstheme="minorHAnsi"/>
              </w:rPr>
            </w:pPr>
            <w:r w:rsidRPr="00012338">
              <w:rPr>
                <w:rFonts w:asciiTheme="minorHAnsi" w:hAnsiTheme="minorHAnsi" w:cstheme="minorHAnsi"/>
              </w:rPr>
              <w:t>(dosažený k 31. 8. 202</w:t>
            </w:r>
            <w:r w:rsidR="00923BFD">
              <w:rPr>
                <w:rFonts w:asciiTheme="minorHAnsi" w:hAnsiTheme="minorHAnsi" w:cstheme="minorHAnsi"/>
              </w:rPr>
              <w:t>3</w:t>
            </w:r>
            <w:r w:rsidRPr="00012338">
              <w:rPr>
                <w:rFonts w:asciiTheme="minorHAnsi" w:hAnsiTheme="minorHAnsi" w:cstheme="minorHAnsi"/>
              </w:rPr>
              <w:t xml:space="preserve">) </w:t>
            </w:r>
          </w:p>
        </w:tc>
        <w:tc>
          <w:tcPr>
            <w:tcW w:w="3025" w:type="dxa"/>
            <w:tcBorders>
              <w:top w:val="single" w:sz="18" w:space="0" w:color="000000"/>
              <w:left w:val="single" w:sz="4" w:space="0" w:color="000000"/>
              <w:bottom w:val="single" w:sz="3"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5 let  </w:t>
            </w:r>
          </w:p>
        </w:tc>
        <w:tc>
          <w:tcPr>
            <w:tcW w:w="3021" w:type="dxa"/>
            <w:tcBorders>
              <w:top w:val="single" w:sz="18" w:space="0" w:color="000000"/>
              <w:left w:val="single" w:sz="3" w:space="0" w:color="000000"/>
              <w:bottom w:val="single" w:sz="3"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3 </w:t>
            </w:r>
          </w:p>
        </w:tc>
      </w:tr>
      <w:tr w:rsidR="001630FF" w:rsidRPr="00012338" w:rsidTr="00923BFD">
        <w:trPr>
          <w:trHeight w:val="300"/>
        </w:trPr>
        <w:tc>
          <w:tcPr>
            <w:tcW w:w="0" w:type="auto"/>
            <w:vMerge/>
            <w:tcBorders>
              <w:top w:val="nil"/>
              <w:left w:val="single" w:sz="4" w:space="0" w:color="000000"/>
              <w:bottom w:val="single" w:sz="4" w:space="0" w:color="auto"/>
              <w:right w:val="single" w:sz="4" w:space="0" w:color="000000"/>
            </w:tcBorders>
          </w:tcPr>
          <w:p w:rsidR="001630FF" w:rsidRPr="00012338" w:rsidRDefault="001630FF" w:rsidP="00012338">
            <w:pPr>
              <w:pStyle w:val="Bezmezer"/>
              <w:rPr>
                <w:rFonts w:asciiTheme="minorHAnsi" w:hAnsiTheme="minorHAnsi" w:cstheme="minorHAnsi"/>
              </w:rPr>
            </w:pPr>
          </w:p>
        </w:tc>
        <w:tc>
          <w:tcPr>
            <w:tcW w:w="3025" w:type="dxa"/>
            <w:tcBorders>
              <w:top w:val="single" w:sz="3" w:space="0" w:color="000000"/>
              <w:left w:val="single" w:sz="4" w:space="0" w:color="000000"/>
              <w:bottom w:val="single" w:sz="3"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4 roky  </w:t>
            </w:r>
          </w:p>
        </w:tc>
        <w:tc>
          <w:tcPr>
            <w:tcW w:w="3021" w:type="dxa"/>
            <w:tcBorders>
              <w:top w:val="single" w:sz="3" w:space="0" w:color="000000"/>
              <w:left w:val="single" w:sz="3" w:space="0" w:color="000000"/>
              <w:bottom w:val="single" w:sz="3"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2 </w:t>
            </w:r>
          </w:p>
        </w:tc>
      </w:tr>
      <w:tr w:rsidR="001630FF" w:rsidRPr="00012338" w:rsidTr="00923BFD">
        <w:trPr>
          <w:trHeight w:val="296"/>
        </w:trPr>
        <w:tc>
          <w:tcPr>
            <w:tcW w:w="0" w:type="auto"/>
            <w:vMerge/>
            <w:tcBorders>
              <w:top w:val="nil"/>
              <w:left w:val="single" w:sz="4" w:space="0" w:color="000000"/>
              <w:bottom w:val="single" w:sz="4" w:space="0" w:color="auto"/>
              <w:right w:val="single" w:sz="4" w:space="0" w:color="000000"/>
            </w:tcBorders>
          </w:tcPr>
          <w:p w:rsidR="001630FF" w:rsidRPr="00012338" w:rsidRDefault="001630FF" w:rsidP="00012338">
            <w:pPr>
              <w:pStyle w:val="Bezmezer"/>
              <w:rPr>
                <w:rFonts w:asciiTheme="minorHAnsi" w:hAnsiTheme="minorHAnsi" w:cstheme="minorHAnsi"/>
              </w:rPr>
            </w:pPr>
          </w:p>
        </w:tc>
        <w:tc>
          <w:tcPr>
            <w:tcW w:w="3025" w:type="dxa"/>
            <w:tcBorders>
              <w:top w:val="single" w:sz="3" w:space="0" w:color="000000"/>
              <w:left w:val="single" w:sz="4" w:space="0" w:color="000000"/>
              <w:bottom w:val="single" w:sz="3"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3 roky </w:t>
            </w:r>
          </w:p>
        </w:tc>
        <w:tc>
          <w:tcPr>
            <w:tcW w:w="3021" w:type="dxa"/>
            <w:tcBorders>
              <w:top w:val="single" w:sz="3" w:space="0" w:color="000000"/>
              <w:left w:val="single" w:sz="3" w:space="0" w:color="000000"/>
              <w:bottom w:val="single" w:sz="3" w:space="0" w:color="000000"/>
              <w:right w:val="single" w:sz="3" w:space="0" w:color="000000"/>
            </w:tcBorders>
          </w:tcPr>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1 </w:t>
            </w:r>
          </w:p>
        </w:tc>
      </w:tr>
    </w:tbl>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sz w:val="23"/>
        </w:rPr>
        <w:t xml:space="preserve"> </w:t>
      </w:r>
    </w:p>
    <w:p w:rsidR="001630FF" w:rsidRDefault="00F6469B" w:rsidP="00923BFD">
      <w:pPr>
        <w:pStyle w:val="Bezmezer"/>
        <w:ind w:firstLine="698"/>
        <w:rPr>
          <w:rFonts w:asciiTheme="minorHAnsi" w:hAnsiTheme="minorHAnsi" w:cstheme="minorHAnsi"/>
        </w:rPr>
      </w:pPr>
      <w:r w:rsidRPr="00012338">
        <w:rPr>
          <w:rFonts w:asciiTheme="minorHAnsi" w:hAnsiTheme="minorHAnsi" w:cstheme="minorHAnsi"/>
        </w:rPr>
        <w:t xml:space="preserve">Bez ohledu na bodové hodnocení bude přednostně v souladu s ustanovením § 34 odst. 4 školského zákona vždy přijato dítě rok před nástupem povinné školní docházky nebo dítě s odkladem povinné školní docházky. </w:t>
      </w:r>
    </w:p>
    <w:p w:rsidR="00923BFD" w:rsidRPr="00012338" w:rsidRDefault="00923BFD" w:rsidP="00923BFD">
      <w:pPr>
        <w:pStyle w:val="Bezmezer"/>
        <w:ind w:firstLine="698"/>
        <w:rPr>
          <w:rFonts w:asciiTheme="minorHAnsi" w:hAnsiTheme="minorHAnsi" w:cstheme="minorHAnsi"/>
        </w:rPr>
      </w:pPr>
    </w:p>
    <w:p w:rsidR="001630FF" w:rsidRPr="00012338" w:rsidRDefault="00F6469B" w:rsidP="00923BFD">
      <w:pPr>
        <w:pStyle w:val="Bezmezer"/>
        <w:ind w:firstLine="698"/>
        <w:rPr>
          <w:rFonts w:asciiTheme="minorHAnsi" w:hAnsiTheme="minorHAnsi" w:cstheme="minorHAnsi"/>
        </w:rPr>
      </w:pPr>
      <w:r w:rsidRPr="00012338">
        <w:rPr>
          <w:rFonts w:asciiTheme="minorHAnsi" w:hAnsiTheme="minorHAnsi" w:cstheme="minorHAnsi"/>
        </w:rPr>
        <w:t xml:space="preserve">Při rovnosti bodů bude pořadí dětí určeno takto: </w:t>
      </w:r>
      <w:r w:rsidR="00923BFD">
        <w:rPr>
          <w:rFonts w:asciiTheme="minorHAnsi" w:hAnsiTheme="minorHAnsi" w:cstheme="minorHAnsi"/>
        </w:rPr>
        <w:t xml:space="preserve"> </w:t>
      </w:r>
    </w:p>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Předškoláci a děti s odkladem školní docházky </w:t>
      </w:r>
    </w:p>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Děti starší tří let s trvalým bydlištěm v Hrádku   </w:t>
      </w:r>
      <w:r w:rsidR="00923BFD">
        <w:rPr>
          <w:rFonts w:asciiTheme="minorHAnsi" w:hAnsiTheme="minorHAnsi" w:cstheme="minorHAnsi"/>
        </w:rPr>
        <w:t xml:space="preserve"> </w:t>
      </w:r>
      <w:bookmarkStart w:id="0" w:name="_GoBack"/>
      <w:bookmarkEnd w:id="0"/>
    </w:p>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rPr>
        <w:t xml:space="preserve">Ostatní děti, seřazeny od nejstarších  </w:t>
      </w:r>
    </w:p>
    <w:p w:rsidR="001630FF" w:rsidRPr="00012338" w:rsidRDefault="00241662" w:rsidP="00012338">
      <w:pPr>
        <w:pStyle w:val="Bezmezer"/>
        <w:rPr>
          <w:rFonts w:asciiTheme="minorHAnsi" w:hAnsiTheme="minorHAnsi" w:cstheme="minorHAnsi"/>
        </w:rPr>
      </w:pPr>
      <w:r>
        <w:rPr>
          <w:noProof/>
        </w:rPr>
        <w:drawing>
          <wp:anchor distT="0" distB="0" distL="114300" distR="114300" simplePos="0" relativeHeight="251660288" behindDoc="1" locked="0" layoutInCell="1" allowOverlap="0" wp14:anchorId="64EAE6A9" wp14:editId="229FDD41">
            <wp:simplePos x="0" y="0"/>
            <wp:positionH relativeFrom="column">
              <wp:posOffset>1837055</wp:posOffset>
            </wp:positionH>
            <wp:positionV relativeFrom="paragraph">
              <wp:posOffset>164465</wp:posOffset>
            </wp:positionV>
            <wp:extent cx="3006090" cy="685165"/>
            <wp:effectExtent l="0" t="0" r="3810" b="635"/>
            <wp:wrapNone/>
            <wp:docPr id="3333" name="Picture 3333"/>
            <wp:cNvGraphicFramePr/>
            <a:graphic xmlns:a="http://schemas.openxmlformats.org/drawingml/2006/main">
              <a:graphicData uri="http://schemas.openxmlformats.org/drawingml/2006/picture">
                <pic:pic xmlns:pic="http://schemas.openxmlformats.org/drawingml/2006/picture">
                  <pic:nvPicPr>
                    <pic:cNvPr id="3333" name="Picture 3333"/>
                    <pic:cNvPicPr/>
                  </pic:nvPicPr>
                  <pic:blipFill>
                    <a:blip r:embed="rId7"/>
                    <a:stretch>
                      <a:fillRect/>
                    </a:stretch>
                  </pic:blipFill>
                  <pic:spPr>
                    <a:xfrm>
                      <a:off x="0" y="0"/>
                      <a:ext cx="3006090" cy="685165"/>
                    </a:xfrm>
                    <a:prstGeom prst="rect">
                      <a:avLst/>
                    </a:prstGeom>
                  </pic:spPr>
                </pic:pic>
              </a:graphicData>
            </a:graphic>
          </wp:anchor>
        </w:drawing>
      </w:r>
      <w:r w:rsidR="00F6469B" w:rsidRPr="00012338">
        <w:rPr>
          <w:rFonts w:asciiTheme="minorHAnsi" w:hAnsiTheme="minorHAnsi" w:cstheme="minorHAnsi"/>
        </w:rPr>
        <w:t xml:space="preserve"> </w:t>
      </w:r>
    </w:p>
    <w:p w:rsidR="00241662" w:rsidRDefault="00F6469B" w:rsidP="00012338">
      <w:pPr>
        <w:pStyle w:val="Bezmezer"/>
        <w:rPr>
          <w:rFonts w:asciiTheme="minorHAnsi" w:hAnsiTheme="minorHAnsi" w:cstheme="minorHAnsi"/>
          <w:sz w:val="20"/>
        </w:rPr>
      </w:pPr>
      <w:r w:rsidRPr="00012338">
        <w:rPr>
          <w:rFonts w:asciiTheme="minorHAnsi" w:hAnsiTheme="minorHAnsi" w:cstheme="minorHAnsi"/>
          <w:sz w:val="20"/>
        </w:rPr>
        <w:t xml:space="preserve">Mgr. Šárka Honusová </w:t>
      </w:r>
    </w:p>
    <w:p w:rsidR="001630FF" w:rsidRPr="00012338" w:rsidRDefault="00F6469B" w:rsidP="00012338">
      <w:pPr>
        <w:pStyle w:val="Bezmezer"/>
        <w:rPr>
          <w:rFonts w:asciiTheme="minorHAnsi" w:hAnsiTheme="minorHAnsi" w:cstheme="minorHAnsi"/>
        </w:rPr>
      </w:pPr>
      <w:r w:rsidRPr="00012338">
        <w:rPr>
          <w:rFonts w:asciiTheme="minorHAnsi" w:hAnsiTheme="minorHAnsi" w:cstheme="minorHAnsi"/>
          <w:sz w:val="20"/>
        </w:rPr>
        <w:t xml:space="preserve">ředitelka ZŠ a MŠ Hrádek 144 </w:t>
      </w:r>
    </w:p>
    <w:sectPr w:rsidR="001630FF" w:rsidRPr="00012338" w:rsidSect="00012338">
      <w:pgSz w:w="11908" w:h="16836"/>
      <w:pgMar w:top="1134" w:right="1356" w:bottom="144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56324"/>
    <w:multiLevelType w:val="hybridMultilevel"/>
    <w:tmpl w:val="370AD2A8"/>
    <w:lvl w:ilvl="0" w:tplc="EE84DD2C">
      <w:start w:val="1"/>
      <w:numFmt w:val="upperRoman"/>
      <w:lvlText w:val="%1."/>
      <w:lvlJc w:val="left"/>
      <w:pPr>
        <w:ind w:left="3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B909448">
      <w:start w:val="1"/>
      <w:numFmt w:val="decimal"/>
      <w:lvlText w:val="%2."/>
      <w:lvlJc w:val="left"/>
      <w:pPr>
        <w:ind w:left="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C461FC">
      <w:start w:val="1"/>
      <w:numFmt w:val="lowerRoman"/>
      <w:lvlText w:val="%3"/>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708884">
      <w:start w:val="1"/>
      <w:numFmt w:val="decimal"/>
      <w:lvlText w:val="%4"/>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3E7D94">
      <w:start w:val="1"/>
      <w:numFmt w:val="lowerLetter"/>
      <w:lvlText w:val="%5"/>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0812F2">
      <w:start w:val="1"/>
      <w:numFmt w:val="lowerRoman"/>
      <w:lvlText w:val="%6"/>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947B7C">
      <w:start w:val="1"/>
      <w:numFmt w:val="decimal"/>
      <w:lvlText w:val="%7"/>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20F966">
      <w:start w:val="1"/>
      <w:numFmt w:val="lowerLetter"/>
      <w:lvlText w:val="%8"/>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AA57EE">
      <w:start w:val="1"/>
      <w:numFmt w:val="lowerRoman"/>
      <w:lvlText w:val="%9"/>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FF"/>
    <w:rsid w:val="00012338"/>
    <w:rsid w:val="001630FF"/>
    <w:rsid w:val="00241662"/>
    <w:rsid w:val="00923BFD"/>
    <w:rsid w:val="00A51592"/>
    <w:rsid w:val="00F64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EAFB"/>
  <w15:docId w15:val="{2F1D5E3B-177F-4667-B698-3788B5E8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28" w:line="253" w:lineRule="auto"/>
      <w:ind w:left="10" w:hanging="10"/>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uiPriority w:val="1"/>
    <w:qFormat/>
    <w:rsid w:val="00012338"/>
    <w:pPr>
      <w:spacing w:after="0" w:line="240" w:lineRule="auto"/>
      <w:ind w:left="10"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321</Words>
  <Characters>1895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cp:lastModifiedBy>REDITELKA</cp:lastModifiedBy>
  <cp:revision>7</cp:revision>
  <cp:lastPrinted>2021-04-13T07:44:00Z</cp:lastPrinted>
  <dcterms:created xsi:type="dcterms:W3CDTF">2021-04-08T20:14:00Z</dcterms:created>
  <dcterms:modified xsi:type="dcterms:W3CDTF">2023-04-12T12:13:00Z</dcterms:modified>
</cp:coreProperties>
</file>